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19"/>
      </w:pPr>
      <w:r>
        <w:t xml:space="preserve">Изучение оснастки локальных </w:t>
      </w:r>
      <w:r>
        <w:t xml:space="preserve">политик </w:t>
      </w:r>
      <w:r>
        <w:t xml:space="preserve"> </w:t>
      </w:r>
      <w:r>
        <w:rPr>
          <w:lang w:val="en-US"/>
        </w:rPr>
        <w:t xml:space="preserve">Windows</w:t>
      </w:r>
      <w:r>
        <w:t xml:space="preserve"> </w:t>
      </w:r>
      <w:r>
        <w:rPr>
          <w:lang w:val="en-US"/>
        </w:rPr>
        <w:t xml:space="preserve">XP</w:t>
      </w:r>
    </w:p>
    <w:p>
      <w:pPr>
        <w:pStyle w:val="638"/>
        <w:rPr>
          <w:highlight w:val="none"/>
        </w:rPr>
      </w:pPr>
      <w:r>
        <w:t xml:space="preserve">Запустить оснастку управления локальными </w:t>
      </w:r>
      <w:r>
        <w:t xml:space="preserve">политиками</w:t>
      </w:r>
      <w:r>
        <w:t xml:space="preserve">.</w:t>
      </w:r>
      <w:r>
        <w:rPr>
          <w:highlight w:val="none"/>
        </w:rPr>
      </w:r>
      <w:r>
        <w:t xml:space="preserve"> </w:t>
      </w:r>
      <w:r>
        <w:rPr>
          <w:highlight w:val="yellow"/>
        </w:rPr>
        <w:t xml:space="preserve">(Win+R —&gt; gpedit.msc)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65287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</w:pPr>
      <w:r>
        <w:t xml:space="preserve">Выписать смысл следующих политик:</w:t>
      </w:r>
    </w:p>
    <w:p>
      <w:pPr>
        <w:pStyle w:val="638"/>
        <w:numPr>
          <w:numId w:val="1"/>
          <w:ilvl w:val="0"/>
        </w:numPr>
      </w:pPr>
      <w:r>
        <w:t xml:space="preserve">Политика учётных записей</w:t>
      </w:r>
    </w:p>
    <w:p>
      <w:pPr>
        <w:pStyle w:val="638"/>
        <w:numPr>
          <w:numId w:val="1"/>
          <w:ilvl w:val="1"/>
        </w:numPr>
      </w:pPr>
      <w:r>
        <w:t xml:space="preserve">Политика паролей</w:t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Макс. Срок действия пароля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81112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Общая локация для настроек политик паролей.</w:t>
      </w:r>
      <w:r>
        <w:rPr>
          <w:b w:val="0"/>
          <w:highlight w:val="yellow"/>
        </w:rPr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9948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Периодическая смена пароля – отличная практика, увеличивающая безопасность системы.</w:t>
      </w:r>
      <w:r>
        <w:rPr>
          <w:b w:val="0"/>
          <w:highlight w:val="none"/>
        </w:rPr>
        <w:t xml:space="preserve"> </w:t>
      </w:r>
      <w:r>
        <w:rPr>
          <w:b w:val="0"/>
          <w:highlight w:val="yellow"/>
        </w:rPr>
        <w:t xml:space="preserve">При входе появится диалоговое окно, указывающее что пароль должен быть изменен.</w:t>
      </w:r>
      <w:r>
        <w:rPr>
          <w:b w:val="0"/>
          <w:highlight w:val="yellow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Пароль должен отвечать требованиям сложности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88353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Данное требование уменьшает вероятность подбора пароля путем простого перебора</w:t>
      </w:r>
      <w:r>
        <w:rPr>
          <w:b w:val="0"/>
          <w:highlight w:val="yellow"/>
        </w:rPr>
        <w:t xml:space="preserve">. При смене пароля будет проверяться ее соответствия основным требованиям (мин длин пароля настраивается отдельно), пароль не соответствующий требованиям сохранить не удастся.</w:t>
      </w:r>
      <w:r>
        <w:rPr>
          <w:b w:val="0"/>
          <w:highlight w:val="yellow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Требовать </w:t>
      </w:r>
      <w:r>
        <w:rPr>
          <w:b/>
        </w:rPr>
        <w:t xml:space="preserve">неповторяемость</w:t>
      </w:r>
      <w:r>
        <w:rPr>
          <w:b/>
        </w:rPr>
        <w:t xml:space="preserve"> паролей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6998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Для паролей создан blacklist, содержащий n предыдущих паролей. Новый пароль не должен быть в этом списке</w:t>
      </w:r>
      <w:r>
        <w:rPr>
          <w:b w:val="0"/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Хранить пароли всех пользователей в домене, используя обратимое шифрование</w:t>
      </w:r>
    </w:p>
    <w:p>
      <w:pPr>
        <w:pStyle w:val="638"/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8968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left="0" w:firstLine="0"/>
        <w:rPr>
          <w:highlight w:val="none"/>
        </w:rPr>
      </w:pPr>
      <w:r>
        <w:rPr>
          <w:highlight w:val="yellow"/>
        </w:rPr>
        <w:t xml:space="preserve">Определяет использование обратимого шифрования при хранении паролей.</w:t>
      </w:r>
      <w:r>
        <w:rPr>
          <w:highlight w:val="yellow"/>
        </w:rPr>
      </w:r>
    </w:p>
    <w:p>
      <w:pPr>
        <w:pStyle w:val="638"/>
        <w:ind w:left="0" w:firstLine="0"/>
        <w:rPr>
          <w:highlight w:val="yellow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38"/>
        <w:numPr>
          <w:numId w:val="1"/>
          <w:ilvl w:val="1"/>
        </w:numPr>
      </w:pPr>
      <w:r>
        <w:t xml:space="preserve">Политика блокировки учетных записей</w:t>
      </w:r>
    </w:p>
    <w:p>
      <w:pPr>
        <w:pStyle w:val="638"/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1628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Блокировка учетной записи на … – </w:t>
      </w:r>
      <w:r>
        <w:rPr>
          <w:highlight w:val="yellow"/>
        </w:rPr>
        <w:t xml:space="preserve">блокирует учетную запись на n кол-во времени после неудачных попыток ввода пароля. Если пороговое значение блокировки не установлено, этот параметр выставить не удастся.</w:t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Пороговое значение блокировки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1615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Определяет максимальное количество попыток ввода пароля. По умолчанию предлагает блокировать учетную запись на 30 мин.</w:t>
      </w:r>
      <w:r>
        <w:rPr>
          <w:b w:val="0"/>
          <w:highlight w:val="yellow"/>
        </w:rPr>
      </w:r>
    </w:p>
    <w:p>
      <w:pPr>
        <w:pStyle w:val="638"/>
        <w:numPr>
          <w:numId w:val="1"/>
          <w:ilvl w:val="0"/>
        </w:numPr>
      </w:pPr>
      <w:r>
        <w:t xml:space="preserve">Локальные политики</w:t>
      </w:r>
    </w:p>
    <w:p>
      <w:pPr>
        <w:pStyle w:val="638"/>
        <w:numPr>
          <w:numId w:val="1"/>
          <w:ilvl w:val="1"/>
        </w:numPr>
      </w:pPr>
      <w:r>
        <w:t xml:space="preserve">Политика аудита</w:t>
      </w:r>
    </w:p>
    <w:p>
      <w:pPr>
        <w:pStyle w:val="638"/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953566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Аудит входа в систему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87926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Позволяет логировать попытки входа в систему. При анализе наибольшую ценность составляют неудачные попытки, они могут говорить о попытках взлома/подбора пароля.</w:t>
      </w:r>
      <w:r>
        <w:rPr>
          <w:b w:val="0"/>
          <w:highlight w:val="yellow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Аудит доступа к объектам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4028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 w:val="0"/>
        </w:rPr>
      </w:pPr>
      <w:r>
        <w:rPr>
          <w:b w:val="0"/>
          <w:highlight w:val="none"/>
        </w:rPr>
      </w:r>
      <w:r>
        <w:rPr>
          <w:b w:val="0"/>
          <w:highlight w:val="yellow"/>
        </w:rPr>
        <w:t xml:space="preserve">Позволяет логировать попытки доступа к объектам. При анализе наибольшую ценность составляют неудачные попытки, они могут говорить о попытках НСД к </w:t>
      </w:r>
      <w:r>
        <w:rPr>
          <w:b w:val="0"/>
          <w:highlight w:val="yellow"/>
        </w:rPr>
        <w:t xml:space="preserve">объектам</w:t>
      </w:r>
      <w:r>
        <w:rPr>
          <w:b w:val="0"/>
          <w:highlight w:val="yellow"/>
        </w:rPr>
        <w:t xml:space="preserve">, не имеющим отношения к Active Directory</w:t>
      </w:r>
      <w:r>
        <w:rPr>
          <w:b w:val="0"/>
          <w:highlight w:val="yellow"/>
        </w:rPr>
        <w:t xml:space="preserve">.</w:t>
      </w:r>
      <w:r>
        <w:rPr>
          <w:b w:val="0"/>
          <w:highlight w:val="yellow"/>
        </w:rPr>
      </w:r>
      <w:r>
        <w:rPr>
          <w:b w:val="0"/>
        </w:rPr>
      </w:r>
    </w:p>
    <w:p>
      <w:pPr>
        <w:pStyle w:val="638"/>
        <w:numPr>
          <w:numId w:val="1"/>
          <w:ilvl w:val="2"/>
        </w:numPr>
      </w:pPr>
      <w:r>
        <w:t xml:space="preserve">Аудит доступа к службе каталогов</w:t>
      </w:r>
    </w:p>
    <w:p>
      <w:pPr>
        <w:pStyle w:val="638"/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57388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left="0" w:firstLine="0"/>
        <w:rPr>
          <w:b w:val="0"/>
        </w:rPr>
      </w:pPr>
      <w:r>
        <w:rPr>
          <w:b w:val="0"/>
          <w:highlight w:val="none"/>
        </w:rPr>
      </w:r>
      <w:r>
        <w:rPr>
          <w:b w:val="0"/>
          <w:highlight w:val="yellow"/>
        </w:rPr>
        <w:t xml:space="preserve">Позволяет логировать попытки доступа к объектам. При анализе наибольшую ценность составляют неудачные попытки, они могут говорить о попытках НСД к </w:t>
      </w:r>
      <w:r>
        <w:rPr>
          <w:b w:val="0"/>
          <w:highlight w:val="yellow"/>
        </w:rPr>
        <w:t xml:space="preserve">объектам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,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 к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оторые указаны в таблице SACL </w:t>
      </w:r>
      <w:r>
        <w:rPr>
          <w:b w:val="0"/>
          <w:highlight w:val="yellow"/>
        </w:rPr>
        <w:t xml:space="preserve">.</w:t>
      </w:r>
      <w:r>
        <w:rPr>
          <w:b w:val="0"/>
          <w:highlight w:val="yellow"/>
        </w:rPr>
      </w:r>
      <w:r>
        <w:rPr>
          <w:b w:val="0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Аудит изменения политики</w:t>
      </w:r>
    </w:p>
    <w:p>
      <w:pPr>
        <w:pStyle w:val="638"/>
        <w:ind w:left="0" w:firstLine="0"/>
        <w:rPr>
          <w:highlight w:val="none"/>
        </w:rPr>
      </w:pPr>
      <w:r>
        <w:rPr>
          <w:b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42201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b/>
          <w:highlight w:val="none"/>
        </w:rPr>
      </w:r>
      <w:r>
        <w:rPr>
          <w:b/>
          <w:highlight w:val="none"/>
        </w:rPr>
      </w:r>
      <w:r>
        <w:rPr>
          <w:b/>
          <w:highlight w:val="none"/>
        </w:rPr>
      </w: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ind w:left="0" w:firstLine="0"/>
        <w:rPr>
          <w:b/>
          <w:highlight w:val="yellow"/>
        </w:rPr>
      </w:pPr>
      <w:r>
        <w:rPr>
          <w:highlight w:val="none"/>
        </w:rPr>
      </w:r>
      <w:r>
        <w:rPr>
          <w:b w:val="0"/>
          <w:highlight w:val="yellow"/>
        </w:rPr>
        <w:t xml:space="preserve">Позволяет логировать попытк</w:t>
      </w:r>
      <w:r>
        <w:rPr>
          <w:b w:val="0"/>
          <w:highlight w:val="yellow"/>
        </w:rPr>
        <w:t xml:space="preserve">и</w:t>
      </w:r>
      <w:r>
        <w:rPr>
          <w:b w:val="0"/>
          <w:highlight w:val="yellow"/>
        </w:rPr>
        <w:t xml:space="preserve"> изменить политики или права пользователей.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Аудит использования привилегий</w:t>
      </w:r>
    </w:p>
    <w:p>
      <w:pPr>
        <w:pStyle w:val="638"/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7182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left="0" w:firstLine="0"/>
      </w:pPr>
      <w:r>
        <w:rPr>
          <w:highlight w:val="none"/>
        </w:rPr>
      </w:r>
      <w:r>
        <w:rPr>
          <w:b w:val="0"/>
          <w:highlight w:val="yellow"/>
        </w:rPr>
        <w:t xml:space="preserve">Позволяет логировать попытк</w:t>
      </w:r>
      <w:r>
        <w:rPr>
          <w:b w:val="0"/>
          <w:highlight w:val="yellow"/>
        </w:rPr>
        <w:t xml:space="preserve">и</w:t>
      </w:r>
      <w:r>
        <w:rPr>
          <w:b w:val="0"/>
          <w:highlight w:val="yellow"/>
        </w:rPr>
        <w:t xml:space="preserve"> использования прав пользователей. Стоит следить за неуспешными попытками.</w: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Аудит отслеживания процессов</w:t>
      </w:r>
    </w:p>
    <w:p>
      <w:pPr>
        <w:pStyle w:val="638"/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5926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yellow"/>
        </w:rPr>
        <w:t xml:space="preserve">Позволяют логировать следующее: активизация программы, завершение процесса, повторение дескрипторов и косвенный доступ к объекту.</w:t>
      </w:r>
      <w:r>
        <w:rPr>
          <w:highlight w:val="yellow"/>
        </w:rPr>
      </w:r>
      <w:r>
        <w:rPr>
          <w:highlight w:val="none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Аудит системных событий</w:t>
      </w:r>
    </w:p>
    <w:p>
      <w:pPr>
        <w:pStyle w:val="638"/>
        <w:ind w:left="0" w:firstLine="0"/>
        <w:rPr>
          <w:b w:val="0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3522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408.4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yellow"/>
        </w:rPr>
        <w:t xml:space="preserve">Особо важная политика, позволяющая логировать события, влияющие на системную безопасность, журналы. Просмотр событий: </w:t>
      </w:r>
      <w:r>
        <w:rPr>
          <w:b w:val="0"/>
          <w:highlight w:val="yellow"/>
        </w:rPr>
        <w:t xml:space="preserve">(Win + R —&gt; </w:t>
      </w:r>
      <w:r>
        <w:rPr>
          <w:b w:val="0"/>
          <w:highlight w:val="yellow"/>
        </w:rPr>
        <w:t xml:space="preserve">eventvwr.msc</w:t>
      </w:r>
      <w:r>
        <w:rPr>
          <w:b w:val="0"/>
          <w:highlight w:val="yellow"/>
        </w:rPr>
        <w:t xml:space="preserve">)</w:t>
      </w:r>
      <w:r>
        <w:rPr>
          <w:b w:val="0"/>
          <w:highlight w:val="yellow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81019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numPr>
          <w:numId w:val="1"/>
          <w:ilvl w:val="1"/>
        </w:numPr>
      </w:pPr>
      <w:r>
        <w:t xml:space="preserve">Назначение прав пользователя</w:t>
      </w:r>
    </w:p>
    <w:p>
      <w:pPr>
        <w:pStyle w:val="638"/>
        <w:numPr>
          <w:numId w:val="1"/>
          <w:ilvl w:val="2"/>
        </w:numPr>
      </w:pPr>
      <w:r>
        <w:t xml:space="preserve">Вход в качестве пакетного задания</w:t>
      </w:r>
    </w:p>
    <w:p>
      <w:pPr>
        <w:pStyle w:val="638"/>
        <w:ind w:left="0" w:firstLine="0"/>
      </w:pP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Позволяет 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группе или определенному пользователю входить в систему при помощи определенного метода</w:t>
      </w:r>
      <w:r>
        <w:rPr>
          <w:rFonts w:ascii="Times New Roman" w:hAnsi="Times New Roman" w:cs="Times New Roman" w:eastAsia="Times New Roman"/>
          <w:sz w:val="24"/>
          <w:szCs w:val="24"/>
          <w:highlight w:val="white"/>
          <w:rtl w:val="false"/>
        </w:rPr>
        <w:t xml:space="preserve">.</w:t>
      </w:r>
    </w:p>
    <w:p>
      <w:pPr>
        <w:pStyle w:val="638"/>
        <w:numPr>
          <w:numId w:val="1"/>
          <w:ilvl w:val="2"/>
        </w:numPr>
      </w:pPr>
      <w:r>
        <w:t xml:space="preserve">Вход в качестве службы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Позволяет определить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, какие учетные записи служб могут зарегистрировать процесс в качестве службы.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Доступ к компьютеру из сети</w:t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yellow"/>
        </w:rPr>
        <w:t xml:space="preserve">Позволяет определять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 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разрешения подключения к компьютеру по сети указанным пользователям или группам.</w:t>
      </w:r>
      <w:r>
        <w:rPr>
          <w:b w:val="0"/>
          <w:highlight w:val="yellow"/>
        </w:rPr>
      </w:r>
      <w:r>
        <w:rPr>
          <w:b w:val="0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33785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yellow"/>
        </w:rPr>
        <w:t xml:space="preserve">Теперь подключиться к ПК можно только под учетной записью student1.</w:t>
      </w:r>
      <w:r>
        <w:rPr>
          <w:b w:val="0"/>
          <w:highlight w:val="yellow"/>
        </w:rPr>
        <w:t xml:space="preserve">Локальная политика не разрешит это сделать. Теперь попробуем подключиться к удаленному рабочему столу под логином admin1, подключение пройдет успешно.</w:t>
      </w:r>
      <w:r>
        <w:rPr>
          <w:b w:val="0"/>
          <w:highlight w:val="yellow"/>
        </w:rPr>
      </w:r>
      <w:r>
        <w:rPr>
          <w:b w:val="0"/>
          <w:highlight w:val="yellow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44324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  <w:highlight w:val="yellow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65424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Замена маркера уровня процесса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Ограничивает использование 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API-функции CreateProcessAsUser для того, чтобы одна служба могла запускать другую функцию, процесс или службу.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Запуск операций по обслуживанию томов</w:t>
      </w:r>
    </w:p>
    <w:p>
      <w:pPr>
        <w:pStyle w:val="638"/>
        <w:ind w:left="0" w:firstLine="0"/>
        <w:rPr>
          <w:rFonts w:ascii="Times New Roman" w:hAnsi="Times New Roman" w:cs="Times New Roman" w:eastAsia="Times New Roman"/>
          <w:sz w:val="24"/>
          <w:szCs w:val="24"/>
          <w:highlight w:val="yellow"/>
        </w:rPr>
      </w:pPr>
      <w:r>
        <w:rPr>
          <w:highlight w:val="yellow"/>
        </w:rPr>
        <w:t xml:space="preserve">Определение пользователей/групп, которые могут </w:t>
      </w:r>
      <w:r>
        <w:rPr>
          <w:highlight w:val="yellow"/>
        </w:rPr>
        <w:t xml:space="preserve">API-функции CreateProcessAsUser для того, чтобы одна служба могла запускать другую функцию, процесс или службу.</w:t>
      </w:r>
      <w:r>
        <w:rPr>
          <w:rFonts w:ascii="Times New Roman" w:hAnsi="Times New Roman" w:cs="Times New Roman" w:eastAsia="Times New Roman"/>
          <w:sz w:val="24"/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Локальный вход в систему</w:t>
      </w:r>
    </w:p>
    <w:p>
      <w:pPr>
        <w:pStyle w:val="638"/>
        <w:ind w:left="0" w:firstLine="0"/>
      </w:pPr>
      <w:r>
        <w:rPr>
          <w:highlight w:val="yellow"/>
        </w:rPr>
        <w:t xml:space="preserve">Определение разрешений для пользователей к интерактивному входу в систему</w:t>
      </w:r>
      <w:r>
        <w:rPr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Обход перекрестной проверки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Определение пользователей, которые могут перемещаться по деревьям каталогов независимо от  разрешения на доступ к соответствующему каталогу.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Овладение файлами и иными объектами</w:t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yellow"/>
        </w:rPr>
        <w:t xml:space="preserve">Определение пользователей, которые могут владеть объектами системы, контролируемыми средствами безопасности.</w:t>
      </w:r>
      <w:r>
        <w:rPr>
          <w:b w:val="0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4265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7816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96712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68831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5096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401.3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ind w:left="0" w:firstLine="0"/>
        <w:rPr>
          <w:b w:val="0"/>
        </w:rPr>
      </w:pP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Принудительное удаленное завершение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  <w:t xml:space="preserve">Указание пользователей, которые могут удаленно завершать работу удаленно</w:t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Создание маркерного объекта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  <w:t xml:space="preserve">Указание пользователей, которые могут </w:t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могут пользоваться процессами для создания маркера, позволяющего получать доступ к любым локальным ресурсам.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Управление аудитом и журналом безопасности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  <w:t xml:space="preserve">Указание пользователей, которые могут указывать параметры аудита доступа к отдельным ресурсам</w:t>
      </w:r>
      <w:r>
        <w:rPr>
          <w:highlight w:val="yellow"/>
        </w:rPr>
      </w:r>
    </w:p>
    <w:p>
      <w:pPr>
        <w:pStyle w:val="638"/>
        <w:numPr>
          <w:numId w:val="1"/>
          <w:ilvl w:val="1"/>
        </w:numPr>
      </w:pPr>
      <w:r>
        <w:t xml:space="preserve">Параметры безопасности</w:t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Завершение работы: очистка страничного файла виртуальной памяти</w:t>
      </w:r>
    </w:p>
    <w:p>
      <w:pPr>
        <w:pStyle w:val="638"/>
        <w:ind w:left="0" w:firstLine="0"/>
        <w:rPr>
          <w:b/>
          <w:highlight w:val="none"/>
        </w:rPr>
      </w:pPr>
      <w:r>
        <w:rPr>
          <w:b/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Определяет, следует ли очищать файл подкачки виртуальной памяти при завершении работы системы.</w:t>
      </w:r>
      <w:r>
        <w:rPr>
          <w:b/>
          <w:highlight w:val="yellow"/>
        </w:rPr>
      </w:r>
      <w:r>
        <w:rPr>
          <w:b/>
          <w:highlight w:val="yellow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 w:after="0"/>
        <w:ind w:left="0" w:right="0" w:firstLine="0"/>
      </w:pPr>
      <w:r>
        <w:rPr>
          <w:rFonts w:ascii="PT Sans" w:hAnsi="PT Sans" w:cs="PT Sans" w:eastAsia="PT Sans"/>
          <w:color w:val="555555"/>
          <w:sz w:val="24"/>
          <w:highlight w:val="white"/>
        </w:rPr>
        <w:t xml:space="preserve">Поскольку этот файл защищён и может использоваться только операционной системой, то открыть его не получится. При попытке сделать это с помощью любого текстового редактора, например, AkelPad (Блокнот), вначале появится запрос на создание нового файла pagef</w:t>
      </w:r>
      <w:r>
        <w:rPr>
          <w:rFonts w:ascii="PT Sans" w:hAnsi="PT Sans" w:cs="PT Sans" w:eastAsia="PT Sans"/>
          <w:color w:val="555555"/>
          <w:sz w:val="24"/>
          <w:highlight w:val="white"/>
        </w:rPr>
        <w:t xml:space="preserve">ile.sys, а затем отказ в открытии.</w:t>
      </w:r>
    </w:p>
    <w:p>
      <w:pPr>
        <w:pStyle w:val="638"/>
        <w:ind w:left="0" w:firstLine="0"/>
        <w:rPr>
          <w:b/>
          <w:highlight w:val="yellow"/>
        </w:rPr>
      </w:pPr>
      <w:r>
        <w:rPr>
          <w:b/>
          <w:highlight w:val="none"/>
        </w:rPr>
      </w:r>
      <w:r>
        <w:rPr>
          <w:b/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Интерактивный вход в систему: требовать смарт-карту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  <w:t xml:space="preserve">После включения без смарт-карты не войти в систему</w:t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Интерактивный вход в систему: количество предыдущих подключений к КЭШу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Сведения о предыдущих входах пользователей в систему кэшируются локально, чтобы обеспечить последующий вход в систему в случае отсутствия доступа к контроллеру домена.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  <w:rPr>
          <w:b/>
        </w:rPr>
      </w:pPr>
      <w:r>
        <w:rPr>
          <w:b/>
        </w:rPr>
        <w:t xml:space="preserve">Интерактивный вход в систему: напоминать пользователям об </w:t>
      </w:r>
      <w:r>
        <w:rPr>
          <w:b/>
        </w:rPr>
        <w:t xml:space="preserve">истечении  срока</w:t>
      </w:r>
      <w:r>
        <w:rPr>
          <w:b/>
        </w:rPr>
        <w:t xml:space="preserve"> действия пароля заранее</w:t>
      </w:r>
    </w:p>
    <w:p>
      <w:pPr>
        <w:pStyle w:val="638"/>
        <w:ind w:left="0" w:firstLine="0"/>
        <w:rPr>
          <w:b w:val="0"/>
          <w:highlight w:val="none"/>
        </w:rPr>
      </w:pPr>
      <w:r>
        <w:rPr>
          <w:b w:val="0"/>
          <w:highlight w:val="yellow"/>
        </w:rPr>
      </w:r>
      <w:r>
        <w:rPr>
          <w:b w:val="0"/>
          <w:highlight w:val="yellow"/>
        </w:rPr>
        <w:t xml:space="preserve">Поставим, что за 7 дней необходимо предупреждать об истечении действия пароля</w:t>
      </w:r>
      <w:r>
        <w:rPr>
          <w:b w:val="0"/>
          <w:highlight w:val="yellow"/>
        </w:rPr>
      </w:r>
      <w:r>
        <w:rPr>
          <w:b w:val="0"/>
          <w:highlight w:val="yellow"/>
        </w:rPr>
      </w:r>
    </w:p>
    <w:p>
      <w:pPr>
        <w:pStyle w:val="638"/>
        <w:ind w:left="0" w:firstLine="0"/>
        <w:jc w:val="center"/>
        <w:rPr>
          <w:b w:val="0"/>
          <w:highlight w:val="yellow"/>
        </w:rPr>
      </w:pPr>
      <w:r>
        <w:rPr>
          <w:b w:val="0"/>
          <w:highlight w:val="none"/>
        </w:rPr>
      </w:r>
      <w:r>
        <w:rPr>
          <w:rFonts w:ascii="Times New Roman" w:hAnsi="Times New Roman" w:cs="Times New Roman" w:eastAsia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48175" cy="1266825"/>
                <wp:effectExtent l="0" t="0" r="0" b="0"/>
                <wp:docPr id="24" name="image6.png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7961859" name="image6.png" hidden="0"/>
                        <pic:cNvPicPr/>
                        <pic:nvPr isPhoto="0" userDrawn="0"/>
                      </pic:nvPicPr>
                      <pic:blipFill>
                        <a:blip r:embed="rId32"/>
                        <a:srcRect l="0" t="0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4448174" cy="126682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2pt;height:99.8pt;rotation:0;">
                <v:path textboxrect="0,0,0,0"/>
                <v:imagedata r:id="rId32" o:title=""/>
              </v:shape>
            </w:pict>
          </mc:Fallback>
        </mc:AlternateContent>
      </w:r>
      <w:r>
        <w:rPr>
          <w:b w:val="0"/>
          <w:highlight w:val="none"/>
        </w:rPr>
      </w:r>
      <w:r>
        <w:rPr>
          <w:b w:val="0"/>
          <w:highlight w:val="none"/>
        </w:rPr>
      </w:r>
    </w:p>
    <w:p>
      <w:pPr>
        <w:pStyle w:val="638"/>
        <w:numPr>
          <w:numId w:val="1"/>
          <w:ilvl w:val="2"/>
        </w:numPr>
      </w:pPr>
      <w:r>
        <w:t xml:space="preserve">Клиент сети </w:t>
      </w:r>
      <w:r>
        <w:rPr>
          <w:lang w:val="en-US"/>
        </w:rPr>
        <w:t xml:space="preserve">Microsoft</w:t>
      </w:r>
      <w:r>
        <w:t xml:space="preserve">: использовать цифровую подпись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Обязательное/необязательное использование подписи пакетов для SMB-компоненты клиента.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Контроль восстановления: разрешить копирование дискет и доступ ко всем дискам и папкам</w:t>
      </w:r>
    </w:p>
    <w:p>
      <w:pPr>
        <w:pStyle w:val="638"/>
        <w:ind w:left="0" w:firstLine="0"/>
        <w:rPr>
          <w:highlight w:val="yellow"/>
        </w:rPr>
      </w:pPr>
      <w:r>
        <w:rPr>
          <w:highlight w:val="yellow"/>
        </w:rPr>
      </w:r>
      <w:r>
        <w:rPr>
          <w:rFonts w:ascii="Times New Roman" w:hAnsi="Times New Roman" w:cs="Times New Roman" w:eastAsia="Times New Roman"/>
          <w:sz w:val="24"/>
          <w:szCs w:val="24"/>
          <w:highlight w:val="yellow"/>
          <w:rtl w:val="false"/>
        </w:rPr>
        <w:t xml:space="preserve">Доступность команды SET, которая позволяет настраивать следующие переменные среды консоли восстановления</w:t>
      </w:r>
      <w:r>
        <w:rPr>
          <w:highlight w:val="yellow"/>
        </w:rPr>
      </w:r>
      <w:r>
        <w:rPr>
          <w:highlight w:val="yellow"/>
        </w:rPr>
      </w:r>
    </w:p>
    <w:p>
      <w:pPr>
        <w:pStyle w:val="638"/>
        <w:numPr>
          <w:numId w:val="1"/>
          <w:ilvl w:val="2"/>
        </w:numPr>
      </w:pPr>
      <w:r>
        <w:t xml:space="preserve">Сервер сети </w:t>
      </w:r>
      <w:r>
        <w:rPr>
          <w:lang w:val="en-US"/>
        </w:rPr>
        <w:t xml:space="preserve">Microsoft</w:t>
      </w:r>
      <w:r>
        <w:t xml:space="preserve">: отключить клиентов по истечении разрешенных часов входа</w:t>
      </w:r>
    </w:p>
    <w:p>
      <w:pPr>
        <w:pStyle w:val="638"/>
        <w:ind w:left="0" w:firstLine="0"/>
        <w:rPr>
          <w:highlight w:val="none"/>
        </w:rPr>
      </w:pPr>
      <w:r>
        <w:rPr>
          <w:highlight w:val="yellow"/>
        </w:rPr>
        <w:t xml:space="preserve">Отключать ли подключенных  клиентов, при истечении разрешенного времени.</w:t>
      </w:r>
      <w:r>
        <w:rPr>
          <w:highlight w:val="yellow"/>
        </w:rPr>
      </w:r>
    </w:p>
    <w:p>
      <w:pPr>
        <w:pStyle w:val="638"/>
        <w:ind w:left="0" w:firstLine="0"/>
        <w:rPr>
          <w:highlight w:val="yellow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38"/>
        <w:numPr>
          <w:numId w:val="1"/>
          <w:ilvl w:val="0"/>
        </w:numPr>
      </w:pPr>
      <w:r>
        <w:t xml:space="preserve">Политики ограниченного использования программ (создать политику и изучить все ее параметры)</w:t>
      </w:r>
    </w:p>
    <w:p>
      <w:pPr>
        <w:pStyle w:val="638"/>
        <w:ind w:left="0" w:firstLine="0"/>
      </w:pP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19228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41419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5019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395.2pt;" stroked="false">
                <v:path textboxrect="0,0,0,0"/>
                <v:imagedata r:id="rId33" o:title=""/>
              </v:shape>
            </w:pict>
          </mc:Fallback>
        </mc:AlternateContent>
      </w:r>
    </w:p>
    <w:p>
      <w:pPr>
        <w:pStyle w:val="638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19228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130985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5019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7.8pt;height:395.2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19228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4749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5019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395.2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19228"/>
                <wp:effectExtent l="0" t="0" r="0" b="0"/>
                <wp:docPr id="2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930269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5019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395.2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638"/>
        <w:ind w:firstLine="0"/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</w:p>
  </w:endnote>
  <w:endnote w:type="continuationSeparator" w:id="0">
    <w:p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PT Sans">
    <w:panose1 w:val="020B0503030403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</w:p>
  </w:footnote>
  <w:footnote w:type="continuationSeparator" w:id="0">
    <w:p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lang w:val="ru-RU" w:bidi="ar-SA" w:eastAsia="en-US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40">
    <w:name w:val="Header"/>
    <w:basedOn w:val="634"/>
    <w:link w:val="41"/>
    <w:uiPriority w:val="99"/>
    <w:unhideWhenUsed/>
    <w:pPr>
      <w:tabs>
        <w:tab w:val="center" w:pos="7143" w:leader="none"/>
        <w:tab w:val="right" w:pos="14287" w:leader="none"/>
      </w:tabs>
      <w:spacing w:after="0" w:line="240" w:lineRule="auto"/>
    </w:pPr>
  </w:style>
  <w:style w:type="character" w:styleId="41">
    <w:name w:val="Header Char"/>
    <w:basedOn w:val="620"/>
    <w:link w:val="40"/>
    <w:uiPriority w:val="99"/>
  </w:style>
  <w:style w:type="paragraph" w:styleId="42">
    <w:name w:val="Footer"/>
    <w:basedOn w:val="634"/>
    <w:link w:val="45"/>
    <w:uiPriority w:val="99"/>
    <w:unhideWhenUsed/>
    <w:pPr>
      <w:tabs>
        <w:tab w:val="center" w:pos="7143" w:leader="none"/>
        <w:tab w:val="right" w:pos="14287" w:leader="none"/>
      </w:tabs>
      <w:spacing w:after="0" w:line="240" w:lineRule="auto"/>
    </w:pPr>
  </w:style>
  <w:style w:type="character" w:styleId="43">
    <w:name w:val="Footer Char"/>
    <w:basedOn w:val="620"/>
    <w:link w:val="42"/>
    <w:uiPriority w:val="99"/>
  </w:style>
  <w:style w:type="paragraph" w:styleId="44">
    <w:name w:val="Caption"/>
    <w:basedOn w:val="634"/>
    <w:next w:val="63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626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62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62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626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  <w:color w:val="404040"/>
      </w:rPr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53">
    <w:name w:val="Grid Table 1 Light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1">
    <w:name w:val="Grid Table 2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2">
    <w:name w:val="Grid Table 2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3">
    <w:name w:val="Grid Table 2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4">
    <w:name w:val="Grid Table 2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5">
    <w:name w:val="Grid Table 2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6">
    <w:name w:val="Grid Table 2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7">
    <w:name w:val="Grid Table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">
    <w:name w:val="Grid Table 3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">
    <w:name w:val="Grid Table 3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0">
    <w:name w:val="Grid Table 3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1">
    <w:name w:val="Grid Table 3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2">
    <w:name w:val="Grid Table 3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3">
    <w:name w:val="Grid Table 3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4">
    <w:name w:val="Grid Table 4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  <w:shd w:val="clear" w:color="ffffff" w:themeColor="accent1" w:themeTint="EA" w:fill="67a4d8" w:themeFill="accent1" w:themeFillTint="E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  <w:shd w:val="clear" w:color="ffffff" w:themeColor="accent3" w:themeTint="FE" w:fill="a5a5a5" w:themeFill="accent3" w:themeFillTint="FE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62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text1" w:fill="000000" w:themeFill="text1"/>
      </w:tcPr>
    </w:tblStylePr>
  </w:style>
  <w:style w:type="table" w:styleId="82">
    <w:name w:val="Grid Table 5 Dark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1" w:fill="5b9bd5" w:themeFill="accent1"/>
      </w:tcPr>
    </w:tblStylePr>
  </w:style>
  <w:style w:type="table" w:styleId="83">
    <w:name w:val="Grid Table 5 Dark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2" w:fill="ed7d31" w:themeFill="accent2"/>
      </w:tcPr>
    </w:tblStylePr>
  </w:style>
  <w:style w:type="table" w:styleId="84">
    <w:name w:val="Grid Table 5 Dark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3" w:fill="a5a5a5" w:themeFill="accent3"/>
      </w:tcPr>
    </w:tblStylePr>
  </w:style>
  <w:style w:type="table" w:styleId="85">
    <w:name w:val="Grid Table 5 Dark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4" w:fill="ffc000" w:themeFill="accent4"/>
      </w:tcPr>
    </w:tblStylePr>
  </w:style>
  <w:style w:type="table" w:styleId="86">
    <w:name w:val="Grid Table 5 Dark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5" w:fill="4472c4" w:themeFill="accent5"/>
      </w:tcPr>
    </w:tblStylePr>
  </w:style>
  <w:style w:type="table" w:styleId="87">
    <w:name w:val="Grid Table 5 Dark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6" w:fill="70ad47" w:themeFill="accent6"/>
      </w:tcPr>
    </w:tblStylePr>
  </w:style>
  <w:style w:type="table" w:styleId="88">
    <w:name w:val="Grid Table 6 Colorful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text1" w:themeTint="80" w:sz="4" w:space="0"/>
        </w:tcBorders>
        <w:shd w:color="ffffff"/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tcBorders>
          <w:top w:val="none"/>
          <w:left w:val="none"/>
          <w:bottom w:val="single" w:color="000000" w:themeColor="text1" w:themeTint="8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/>
          <w:left w:val="single" w:color="000000" w:themeColor="text1" w:themeTint="8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tcBorders>
          <w:top w:val="single" w:color="000000" w:themeColor="text1" w:themeTint="8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6">
    <w:name w:val="Grid Table 7 Colorful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1" w:themeTint="80" w:sz="4" w:space="0"/>
        </w:tcBorders>
        <w:shd w:color="ffffff"/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tcBorders>
          <w:top w:val="none"/>
          <w:left w:val="none"/>
          <w:bottom w:val="single" w:color="000000" w:themeColor="accent1" w:themeTint="8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tcBorders>
          <w:top w:val="none"/>
          <w:left w:val="single" w:color="000000" w:themeColor="accent1" w:themeTint="8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tcBorders>
          <w:top w:val="single" w:color="000000" w:themeColor="accent1" w:themeTint="8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7">
    <w:name w:val="Grid Table 7 Colorful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2" w:themeTint="97" w:sz="4" w:space="0"/>
        </w:tcBorders>
        <w:shd w:color="ffffff"/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tcBorders>
          <w:top w:val="none"/>
          <w:left w:val="none"/>
          <w:bottom w:val="single" w:color="000000" w:themeColor="accent2" w:themeTint="97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tcBorders>
          <w:top w:val="none"/>
          <w:left w:val="single" w:color="000000" w:themeColor="accent2" w:themeTint="97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tcBorders>
          <w:top w:val="single" w:color="000000" w:themeColor="accent2" w:themeTint="97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8">
    <w:name w:val="Grid Table 7 Colorful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3" w:themeTint="FE" w:sz="4" w:space="0"/>
        </w:tcBorders>
        <w:shd w:color="ffffff"/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tcBorders>
          <w:top w:val="none"/>
          <w:left w:val="none"/>
          <w:bottom w:val="single" w:color="000000" w:themeColor="accent3" w:themeTint="FE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tcBorders>
          <w:top w:val="none"/>
          <w:left w:val="single" w:color="000000" w:themeColor="accent3" w:themeTint="FE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tcBorders>
          <w:top w:val="single" w:color="000000" w:themeColor="accent3" w:themeTint="FE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9">
    <w:name w:val="Grid Table 7 Colorful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4" w:themeTint="9A" w:sz="4" w:space="0"/>
        </w:tcBorders>
        <w:shd w:color="ffffff"/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tcBorders>
          <w:top w:val="none"/>
          <w:left w:val="none"/>
          <w:bottom w:val="single" w:color="000000" w:themeColor="accent4" w:themeTint="9A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tcBorders>
          <w:top w:val="none"/>
          <w:left w:val="single" w:color="000000" w:themeColor="accent4" w:themeTint="9A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tcBorders>
          <w:top w:val="single" w:color="000000" w:themeColor="accent4" w:themeTint="9A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0">
    <w:name w:val="Grid Table 7 Colorful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5" w:themeTint="90" w:sz="4" w:space="0"/>
        </w:tcBorders>
        <w:shd w:color="ffffff"/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tcBorders>
          <w:top w:val="none"/>
          <w:left w:val="none"/>
          <w:bottom w:val="single" w:color="000000" w:themeColor="accent5" w:themeTint="9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tcBorders>
          <w:top w:val="none"/>
          <w:left w:val="single" w:color="000000" w:themeColor="accent5" w:themeTint="9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tcBorders>
          <w:top w:val="single" w:color="000000" w:themeColor="accent5" w:themeTint="9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1">
    <w:name w:val="Grid Table 7 Colorful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6" w:themeTint="90" w:sz="4" w:space="0"/>
        </w:tcBorders>
        <w:shd w:color="ffffff"/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tcBorders>
          <w:top w:val="none"/>
          <w:left w:val="none"/>
          <w:bottom w:val="single" w:color="000000" w:themeColor="accent6" w:themeTint="9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tcBorders>
          <w:top w:val="none"/>
          <w:left w:val="single" w:color="000000" w:themeColor="accent6" w:themeTint="9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tcBorders>
          <w:top w:val="single" w:color="000000" w:themeColor="accent6" w:themeTint="9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2">
    <w:name w:val="List Table 1 Light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text1" w:themeTint="80" w:sz="32" w:space="0"/>
          <w:bottom w:val="single" w:color="000000" w:themeColor="light1" w:sz="12" w:space="0"/>
        </w:tcBorders>
        <w:shd w:val="clear" w:color="ffffff" w:themeColor="text1" w:themeTint="80" w:fill="7f7f7f" w:themeFill="text1" w:themeFillTint="80"/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1" w:fill="5b9bd5" w:themeFill="accent1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1" w:fill="5b9bd5" w:themeFill="accent1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1" w:fill="5b9bd5" w:themeFill="accent1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themeColor="accent1" w:fill="5b9bd5" w:themeFill="accent1"/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2" w:themeTint="97" w:fill="f4b185" w:themeFill="accent2" w:themeFillTint="97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2" w:themeTint="97" w:fill="f4b185" w:themeFill="accent2" w:themeFillTint="97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2" w:themeTint="97" w:fill="f4b185" w:themeFill="accent2" w:themeFillTint="97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2" w:themeTint="97" w:sz="32" w:space="0"/>
          <w:bottom w:val="single" w:color="000000" w:themeColor="light1" w:sz="12" w:space="0"/>
        </w:tcBorders>
        <w:shd w:val="clear" w:color="ffffff" w:themeColor="accent2" w:themeTint="97" w:fill="f4b185" w:themeFill="accent2" w:themeFillTint="97"/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3" w:themeTint="98" w:fill="c9c9c9" w:themeFill="accent3" w:themeFillTint="98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3" w:themeTint="98" w:fill="c9c9c9" w:themeFill="accent3" w:themeFillTint="98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3" w:themeTint="98" w:fill="c9c9c9" w:themeFill="accent3" w:themeFillTint="98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3" w:themeTint="98" w:sz="32" w:space="0"/>
          <w:bottom w:val="single" w:color="000000" w:themeColor="light1" w:sz="12" w:space="0"/>
        </w:tcBorders>
        <w:shd w:val="clear" w:color="ffffff" w:themeColor="accent3" w:themeTint="98" w:fill="c9c9c9" w:themeFill="accent3" w:themeFillTint="98"/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4" w:themeTint="9A" w:fill="ffd864" w:themeFill="accent4" w:themeFillTint="9A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4" w:themeTint="9A" w:fill="ffd864" w:themeFill="accent4" w:themeFillTint="9A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4" w:themeTint="9A" w:fill="ffd864" w:themeFill="accent4" w:themeFillTint="9A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4" w:themeTint="9A" w:sz="32" w:space="0"/>
          <w:bottom w:val="single" w:color="000000" w:themeColor="light1" w:sz="12" w:space="0"/>
        </w:tcBorders>
        <w:shd w:val="clear" w:color="ffffff" w:themeColor="accent4" w:themeTint="9A" w:fill="ffd864" w:themeFill="accent4" w:themeFillTint="9A"/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5" w:themeTint="9A" w:fill="8eabdb" w:themeFill="accent5" w:themeFillTint="9A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5" w:themeTint="9A" w:fill="8eabdb" w:themeFill="accent5" w:themeFillTint="9A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5" w:themeTint="9A" w:fill="8eabdb" w:themeFill="accent5" w:themeFillTint="9A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5" w:themeTint="9A" w:sz="32" w:space="0"/>
          <w:bottom w:val="single" w:color="000000" w:themeColor="light1" w:sz="12" w:space="0"/>
        </w:tcBorders>
        <w:shd w:val="clear" w:color="ffffff" w:themeColor="accent5" w:themeTint="9A" w:fill="8eabdb" w:themeFill="accent5" w:themeFillTint="9A"/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6" w:themeTint="98" w:fill="aad08f" w:themeFill="accent6" w:themeFillTint="98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6" w:themeTint="98" w:fill="aad08f" w:themeFill="accent6" w:themeFillTint="98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6" w:themeTint="98" w:fill="aad08f" w:themeFill="accent6" w:themeFillTint="98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6" w:themeTint="98" w:sz="32" w:space="0"/>
          <w:bottom w:val="single" w:color="000000" w:themeColor="light1" w:sz="12" w:space="0"/>
        </w:tcBorders>
        <w:shd w:val="clear" w:color="ffffff" w:themeColor="accent6" w:themeTint="98" w:fill="aad08f" w:themeFill="accent6" w:themeFillTint="98"/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text1" w:themeTint="80" w:sz="4" w:space="0"/>
        </w:tcBorders>
        <w:shd w:color="ffffff"/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/>
          <w:left w:val="none"/>
          <w:bottom w:val="single" w:color="000000" w:themeColor="text1" w:themeTint="8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/>
          <w:left w:val="single" w:color="000000" w:themeColor="text1" w:themeTint="8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tcBorders>
          <w:top w:val="single" w:color="000000" w:themeColor="text1" w:themeTint="8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2" w:themeTint="97" w:sz="4" w:space="0"/>
        </w:tcBorders>
        <w:shd w:color="ffffff"/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tcBorders>
          <w:top w:val="none"/>
          <w:left w:val="none"/>
          <w:bottom w:val="single" w:color="000000" w:themeColor="accent2" w:themeTint="97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tcBorders>
          <w:top w:val="none"/>
          <w:left w:val="single" w:color="000000" w:themeColor="accent2" w:themeTint="97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tcBorders>
          <w:top w:val="single" w:color="000000" w:themeColor="accent2" w:themeTint="97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3" w:themeTint="98" w:sz="4" w:space="0"/>
        </w:tcBorders>
        <w:shd w:color="ffffff"/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tcBorders>
          <w:top w:val="none"/>
          <w:left w:val="none"/>
          <w:bottom w:val="single" w:color="000000" w:themeColor="accent3" w:themeTint="98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tcBorders>
          <w:top w:val="none"/>
          <w:left w:val="single" w:color="000000" w:themeColor="accent3" w:themeTint="98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tcBorders>
          <w:top w:val="single" w:color="000000" w:themeColor="accent3" w:themeTint="98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4" w:themeTint="9A" w:sz="4" w:space="0"/>
        </w:tcBorders>
        <w:shd w:color="ffffff"/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tcBorders>
          <w:top w:val="none"/>
          <w:left w:val="none"/>
          <w:bottom w:val="single" w:color="000000" w:themeColor="accent4" w:themeTint="9A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tcBorders>
          <w:top w:val="none"/>
          <w:left w:val="single" w:color="000000" w:themeColor="accent4" w:themeTint="9A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tcBorders>
          <w:top w:val="single" w:color="000000" w:themeColor="accent4" w:themeTint="9A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5" w:themeTint="9A" w:sz="4" w:space="0"/>
        </w:tcBorders>
        <w:shd w:color="ffffff"/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tcBorders>
          <w:top w:val="none"/>
          <w:left w:val="none"/>
          <w:bottom w:val="single" w:color="000000" w:themeColor="accent5" w:themeTint="9A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tcBorders>
          <w:top w:val="none"/>
          <w:left w:val="single" w:color="000000" w:themeColor="accent5" w:themeTint="9A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tcBorders>
          <w:top w:val="single" w:color="000000" w:themeColor="accent5" w:themeTint="9A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6" w:themeTint="98" w:sz="4" w:space="0"/>
        </w:tcBorders>
        <w:shd w:color="ffffff"/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tcBorders>
          <w:top w:val="none"/>
          <w:left w:val="none"/>
          <w:bottom w:val="single" w:color="000000" w:themeColor="accent6" w:themeTint="98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tcBorders>
          <w:top w:val="none"/>
          <w:left w:val="single" w:color="000000" w:themeColor="accent6" w:themeTint="98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tcBorders>
          <w:top w:val="single" w:color="000000" w:themeColor="accent6" w:themeTint="98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62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62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9">
    <w:name w:val="toc 1"/>
    <w:basedOn w:val="634"/>
    <w:next w:val="634"/>
    <w:uiPriority w:val="39"/>
    <w:unhideWhenUsed/>
    <w:pPr>
      <w:spacing w:after="57"/>
      <w:ind w:left="0" w:right="0" w:firstLine="0"/>
    </w:pPr>
  </w:style>
  <w:style w:type="paragraph" w:styleId="180">
    <w:name w:val="toc 2"/>
    <w:basedOn w:val="634"/>
    <w:next w:val="634"/>
    <w:uiPriority w:val="39"/>
    <w:unhideWhenUsed/>
    <w:pPr>
      <w:spacing w:after="57"/>
      <w:ind w:left="283" w:right="0" w:firstLine="0"/>
    </w:pPr>
  </w:style>
  <w:style w:type="paragraph" w:styleId="181">
    <w:name w:val="toc 3"/>
    <w:basedOn w:val="634"/>
    <w:next w:val="634"/>
    <w:uiPriority w:val="39"/>
    <w:unhideWhenUsed/>
    <w:pPr>
      <w:spacing w:after="57"/>
      <w:ind w:left="567" w:right="0" w:firstLine="0"/>
    </w:pPr>
  </w:style>
  <w:style w:type="paragraph" w:styleId="182">
    <w:name w:val="toc 4"/>
    <w:basedOn w:val="634"/>
    <w:next w:val="634"/>
    <w:uiPriority w:val="39"/>
    <w:unhideWhenUsed/>
    <w:pPr>
      <w:spacing w:after="57"/>
      <w:ind w:left="850" w:right="0" w:firstLine="0"/>
    </w:pPr>
  </w:style>
  <w:style w:type="paragraph" w:styleId="183">
    <w:name w:val="toc 5"/>
    <w:basedOn w:val="634"/>
    <w:next w:val="634"/>
    <w:uiPriority w:val="39"/>
    <w:unhideWhenUsed/>
    <w:pPr>
      <w:spacing w:after="57"/>
      <w:ind w:left="1134" w:right="0" w:firstLine="0"/>
    </w:pPr>
  </w:style>
  <w:style w:type="paragraph" w:styleId="184">
    <w:name w:val="toc 6"/>
    <w:basedOn w:val="634"/>
    <w:next w:val="634"/>
    <w:uiPriority w:val="39"/>
    <w:unhideWhenUsed/>
    <w:pPr>
      <w:spacing w:after="57"/>
      <w:ind w:left="1417" w:right="0" w:firstLine="0"/>
    </w:pPr>
  </w:style>
  <w:style w:type="paragraph" w:styleId="185">
    <w:name w:val="toc 7"/>
    <w:basedOn w:val="634"/>
    <w:next w:val="634"/>
    <w:uiPriority w:val="39"/>
    <w:unhideWhenUsed/>
    <w:pPr>
      <w:spacing w:after="57"/>
      <w:ind w:left="1701" w:right="0" w:firstLine="0"/>
    </w:pPr>
  </w:style>
  <w:style w:type="paragraph" w:styleId="186">
    <w:name w:val="toc 8"/>
    <w:basedOn w:val="634"/>
    <w:next w:val="634"/>
    <w:uiPriority w:val="39"/>
    <w:unhideWhenUsed/>
    <w:pPr>
      <w:spacing w:after="57"/>
      <w:ind w:left="1984" w:right="0" w:firstLine="0"/>
    </w:pPr>
  </w:style>
  <w:style w:type="paragraph" w:styleId="187">
    <w:name w:val="toc 9"/>
    <w:basedOn w:val="634"/>
    <w:next w:val="634"/>
    <w:uiPriority w:val="39"/>
    <w:unhideWhenUsed/>
    <w:pPr>
      <w:spacing w:after="57"/>
      <w:ind w:left="2268" w:right="0" w:firstLine="0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634"/>
    <w:next w:val="634"/>
    <w:uiPriority w:val="99"/>
    <w:unhideWhenUsed/>
    <w:pPr>
      <w:spacing w:after="0" w:afterAutospacing="0"/>
    </w:pPr>
  </w:style>
  <w:style w:type="paragraph" w:styleId="600">
    <w:name w:val="Heading 1"/>
    <w:basedOn w:val="634"/>
    <w:next w:val="634"/>
    <w:link w:val="621"/>
    <w:uiPriority w:val="9"/>
    <w:qFormat/>
    <w:pPr>
      <w:keepNext/>
      <w:keepLines/>
      <w:spacing w:before="480" w:after="0"/>
    </w:pPr>
    <w:rPr>
      <w:rFonts w:asciiTheme="majorHAnsi" w:hAnsiTheme="majorHAnsi" w:eastAsiaTheme="majorEastAsia" w:cstheme="majorBidi"/>
      <w:b/>
      <w:color w:val="2E74B4" w:themeColor="accent1" w:themeShade="BF"/>
      <w:sz w:val="28"/>
    </w:rPr>
  </w:style>
  <w:style w:type="character" w:styleId="601">
    <w:name w:val="footnote reference"/>
    <w:basedOn w:val="620"/>
    <w:uiPriority w:val="99"/>
    <w:semiHidden/>
    <w:unhideWhenUsed/>
    <w:rPr>
      <w:vertAlign w:val="superscript"/>
    </w:rPr>
  </w:style>
  <w:style w:type="character" w:styleId="602">
    <w:name w:val="Strong"/>
    <w:basedOn w:val="620"/>
    <w:uiPriority w:val="22"/>
    <w:qFormat/>
    <w:rPr>
      <w:b/>
    </w:rPr>
  </w:style>
  <w:style w:type="character" w:styleId="603" w:customStyle="1">
    <w:name w:val="Heading 4 Char"/>
    <w:basedOn w:val="620"/>
    <w:link w:val="617"/>
    <w:uiPriority w:val="9"/>
    <w:rPr>
      <w:rFonts w:asciiTheme="majorHAnsi" w:hAnsiTheme="majorHAnsi" w:eastAsiaTheme="majorEastAsia" w:cstheme="majorBidi"/>
      <w:b/>
      <w:i/>
      <w:color w:val="5B9BD5" w:themeColor="accent1"/>
    </w:rPr>
  </w:style>
  <w:style w:type="paragraph" w:styleId="604">
    <w:name w:val="Intense Quote"/>
    <w:basedOn w:val="634"/>
    <w:next w:val="634"/>
    <w:link w:val="611"/>
    <w:uiPriority w:val="30"/>
    <w:qFormat/>
    <w:pPr>
      <w:pBdr>
        <w:bottom w:val="single" w:color="5B9BD5" w:themeColor="accent1" w:sz="4" w:space="0"/>
      </w:pBdr>
      <w:spacing w:before="200" w:after="280"/>
      <w:ind w:left="936" w:right="936"/>
    </w:pPr>
    <w:rPr>
      <w:b/>
      <w:i/>
      <w:color w:val="5B9BD5" w:themeColor="accent1"/>
    </w:rPr>
  </w:style>
  <w:style w:type="character" w:styleId="605">
    <w:name w:val="Emphasis"/>
    <w:basedOn w:val="620"/>
    <w:uiPriority w:val="20"/>
    <w:qFormat/>
    <w:rPr>
      <w:i/>
    </w:rPr>
  </w:style>
  <w:style w:type="character" w:styleId="606">
    <w:name w:val="Book Title"/>
    <w:basedOn w:val="620"/>
    <w:uiPriority w:val="33"/>
    <w:qFormat/>
    <w:rPr>
      <w:b/>
      <w:smallCaps/>
      <w:spacing w:val="5"/>
    </w:rPr>
  </w:style>
  <w:style w:type="paragraph" w:styleId="607">
    <w:name w:val="Quote"/>
    <w:basedOn w:val="634"/>
    <w:next w:val="634"/>
    <w:link w:val="649"/>
    <w:uiPriority w:val="29"/>
    <w:qFormat/>
    <w:rPr>
      <w:i/>
      <w:color w:val="000000" w:themeColor="text1"/>
    </w:rPr>
  </w:style>
  <w:style w:type="character" w:styleId="608">
    <w:name w:val="Subtle Reference"/>
    <w:basedOn w:val="620"/>
    <w:uiPriority w:val="31"/>
    <w:qFormat/>
    <w:rPr>
      <w:smallCaps/>
      <w:color w:val="ED7D31" w:themeColor="accent2"/>
      <w:u w:val="single"/>
    </w:rPr>
  </w:style>
  <w:style w:type="paragraph" w:styleId="609">
    <w:name w:val="Heading 9"/>
    <w:basedOn w:val="634"/>
    <w:next w:val="634"/>
    <w:link w:val="646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i/>
      <w:color w:val="404040" w:themeColor="text1" w:themeTint="BF"/>
      <w:sz w:val="20"/>
    </w:rPr>
  </w:style>
  <w:style w:type="paragraph" w:styleId="610">
    <w:name w:val="Heading 8"/>
    <w:basedOn w:val="634"/>
    <w:next w:val="634"/>
    <w:link w:val="647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color w:val="404040" w:themeColor="text1" w:themeTint="BF"/>
      <w:sz w:val="20"/>
    </w:rPr>
  </w:style>
  <w:style w:type="character" w:styleId="611" w:customStyle="1">
    <w:name w:val="Intense Quote Char"/>
    <w:basedOn w:val="620"/>
    <w:link w:val="604"/>
    <w:uiPriority w:val="30"/>
    <w:rPr>
      <w:b/>
      <w:i/>
      <w:color w:val="5B9BD5" w:themeColor="accent1"/>
    </w:rPr>
  </w:style>
  <w:style w:type="paragraph" w:styleId="612">
    <w:name w:val="Heading 7"/>
    <w:basedOn w:val="634"/>
    <w:next w:val="634"/>
    <w:link w:val="645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i/>
      <w:color w:val="404040" w:themeColor="text1" w:themeTint="BF"/>
    </w:rPr>
  </w:style>
  <w:style w:type="character" w:styleId="613" w:customStyle="1">
    <w:name w:val="Heading 3 Char"/>
    <w:basedOn w:val="620"/>
    <w:link w:val="618"/>
    <w:uiPriority w:val="9"/>
    <w:rPr>
      <w:rFonts w:asciiTheme="majorHAnsi" w:hAnsiTheme="majorHAnsi" w:eastAsiaTheme="majorEastAsia" w:cstheme="majorBidi"/>
      <w:b/>
      <w:color w:val="5B9BD5" w:themeColor="accent1"/>
    </w:rPr>
  </w:style>
  <w:style w:type="paragraph" w:styleId="614">
    <w:name w:val="Heading 6"/>
    <w:basedOn w:val="634"/>
    <w:next w:val="634"/>
    <w:link w:val="635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i/>
      <w:color w:val="1F4D77" w:themeColor="accent1" w:themeShade="7F"/>
    </w:rPr>
  </w:style>
  <w:style w:type="character" w:styleId="615" w:customStyle="1">
    <w:name w:val="Heading 5 Char"/>
    <w:basedOn w:val="620"/>
    <w:link w:val="616"/>
    <w:uiPriority w:val="9"/>
    <w:rPr>
      <w:rFonts w:asciiTheme="majorHAnsi" w:hAnsiTheme="majorHAnsi" w:eastAsiaTheme="majorEastAsia" w:cstheme="majorBidi"/>
      <w:color w:val="1F4D77" w:themeColor="accent1" w:themeShade="7F"/>
    </w:rPr>
  </w:style>
  <w:style w:type="paragraph" w:styleId="616">
    <w:name w:val="Heading 5"/>
    <w:basedOn w:val="634"/>
    <w:next w:val="634"/>
    <w:link w:val="615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color w:val="1F4D77" w:themeColor="accent1" w:themeShade="7F"/>
    </w:rPr>
  </w:style>
  <w:style w:type="paragraph" w:styleId="617">
    <w:name w:val="Heading 4"/>
    <w:basedOn w:val="634"/>
    <w:next w:val="634"/>
    <w:link w:val="603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b/>
      <w:i/>
      <w:color w:val="5B9BD5" w:themeColor="accent1"/>
    </w:rPr>
  </w:style>
  <w:style w:type="paragraph" w:styleId="618">
    <w:name w:val="Heading 3"/>
    <w:basedOn w:val="634"/>
    <w:next w:val="634"/>
    <w:link w:val="613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b/>
      <w:color w:val="5B9BD5" w:themeColor="accent1"/>
    </w:rPr>
  </w:style>
  <w:style w:type="paragraph" w:styleId="619">
    <w:name w:val="Heading 2"/>
    <w:basedOn w:val="634"/>
    <w:next w:val="634"/>
    <w:link w:val="643"/>
    <w:uiPriority w:val="9"/>
    <w:semiHidden/>
    <w:unhideWhenUsed/>
    <w:qFormat/>
    <w:pPr>
      <w:keepNext/>
      <w:keepLines/>
      <w:spacing w:before="200" w:after="0"/>
    </w:pPr>
    <w:rPr>
      <w:rFonts w:asciiTheme="majorHAnsi" w:hAnsiTheme="majorHAnsi" w:eastAsiaTheme="majorEastAsia" w:cstheme="majorBidi"/>
      <w:b/>
      <w:color w:val="5B9BD5" w:themeColor="accent1"/>
      <w:sz w:val="26"/>
    </w:rPr>
  </w:style>
  <w:style w:type="character" w:styleId="620" w:default="1">
    <w:name w:val="Default Paragraph Font"/>
    <w:uiPriority w:val="1"/>
    <w:semiHidden/>
    <w:unhideWhenUsed/>
  </w:style>
  <w:style w:type="character" w:styleId="621" w:customStyle="1">
    <w:name w:val="Heading 1 Char"/>
    <w:basedOn w:val="620"/>
    <w:link w:val="600"/>
    <w:uiPriority w:val="9"/>
    <w:rPr>
      <w:rFonts w:asciiTheme="majorHAnsi" w:hAnsiTheme="majorHAnsi" w:eastAsiaTheme="majorEastAsia" w:cstheme="majorBidi"/>
      <w:b/>
      <w:color w:val="2E74B4" w:themeColor="accent1" w:themeShade="BF"/>
      <w:sz w:val="28"/>
    </w:rPr>
  </w:style>
  <w:style w:type="character" w:styleId="622" w:customStyle="1">
    <w:name w:val="Plain Text Char"/>
    <w:basedOn w:val="620"/>
    <w:link w:val="636"/>
    <w:uiPriority w:val="99"/>
    <w:rPr>
      <w:rFonts w:ascii="Times New Roman" w:hAnsi="Times New Roman" w:cs="Times New Roman"/>
      <w:sz w:val="21"/>
    </w:rPr>
  </w:style>
  <w:style w:type="character" w:styleId="623">
    <w:name w:val="endnote reference"/>
    <w:basedOn w:val="620"/>
    <w:uiPriority w:val="99"/>
    <w:semiHidden/>
    <w:unhideWhenUsed/>
    <w:rPr>
      <w:vertAlign w:val="superscript"/>
    </w:rPr>
  </w:style>
  <w:style w:type="character" w:styleId="624">
    <w:name w:val="Subtle Emphasis"/>
    <w:basedOn w:val="620"/>
    <w:uiPriority w:val="19"/>
    <w:qFormat/>
    <w:rPr>
      <w:i/>
      <w:color w:val="808080" w:themeColor="text1" w:themeTint="7F"/>
    </w:rPr>
  </w:style>
  <w:style w:type="character" w:styleId="625" w:customStyle="1">
    <w:name w:val="Subtitle Char"/>
    <w:basedOn w:val="620"/>
    <w:link w:val="642"/>
    <w:uiPriority w:val="11"/>
    <w:rPr>
      <w:rFonts w:asciiTheme="majorHAnsi" w:hAnsiTheme="majorHAnsi" w:eastAsiaTheme="majorEastAsia" w:cstheme="majorBidi"/>
      <w:i/>
      <w:color w:val="5B9BD5" w:themeColor="accent1"/>
      <w:spacing w:val="15"/>
      <w:sz w:val="24"/>
    </w:rPr>
  </w:style>
  <w:style w:type="table" w:styleId="626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627">
    <w:name w:val="List Paragraph"/>
    <w:basedOn w:val="634"/>
    <w:uiPriority w:val="34"/>
    <w:qFormat/>
    <w:pPr>
      <w:ind w:left="720"/>
      <w:contextualSpacing/>
    </w:pPr>
  </w:style>
  <w:style w:type="character" w:styleId="628" w:customStyle="1">
    <w:name w:val="Endnote Text Char"/>
    <w:basedOn w:val="620"/>
    <w:link w:val="630"/>
    <w:uiPriority w:val="99"/>
    <w:semiHidden/>
    <w:rPr>
      <w:sz w:val="20"/>
    </w:rPr>
  </w:style>
  <w:style w:type="character" w:styleId="629">
    <w:name w:val="Intense Reference"/>
    <w:basedOn w:val="620"/>
    <w:uiPriority w:val="32"/>
    <w:qFormat/>
    <w:rPr>
      <w:b/>
      <w:smallCaps/>
      <w:color w:val="ED7D31" w:themeColor="accent2"/>
      <w:spacing w:val="5"/>
      <w:u w:val="single"/>
    </w:rPr>
  </w:style>
  <w:style w:type="paragraph" w:styleId="630">
    <w:name w:val="endnote text"/>
    <w:basedOn w:val="634"/>
    <w:link w:val="628"/>
    <w:uiPriority w:val="99"/>
    <w:semiHidden/>
    <w:unhideWhenUsed/>
    <w:pPr>
      <w:spacing w:after="0" w:line="240" w:lineRule="auto"/>
    </w:pPr>
    <w:rPr>
      <w:sz w:val="20"/>
    </w:rPr>
  </w:style>
  <w:style w:type="character" w:styleId="631" w:customStyle="1">
    <w:name w:val="Footnote Text Char"/>
    <w:basedOn w:val="620"/>
    <w:link w:val="633"/>
    <w:uiPriority w:val="99"/>
    <w:semiHidden/>
    <w:rPr>
      <w:sz w:val="20"/>
    </w:rPr>
  </w:style>
  <w:style w:type="character" w:styleId="632" w:customStyle="1">
    <w:name w:val="Заголовок 2 Знак"/>
    <w:basedOn w:val="620"/>
    <w:link w:val="619"/>
    <w:uiPriority w:val="9"/>
    <w:rPr>
      <w:rFonts w:asciiTheme="majorHAnsi" w:hAnsiTheme="majorHAnsi" w:eastAsiaTheme="majorEastAsia" w:cstheme="majorBidi"/>
      <w:b/>
      <w:color w:val="5B9BD5" w:themeColor="accent1"/>
      <w:sz w:val="26"/>
      <w:lang w:eastAsia="ru-RU"/>
    </w:rPr>
  </w:style>
  <w:style w:type="paragraph" w:styleId="633">
    <w:name w:val="footnote text"/>
    <w:basedOn w:val="634"/>
    <w:link w:val="631"/>
    <w:uiPriority w:val="99"/>
    <w:semiHidden/>
    <w:unhideWhenUsed/>
    <w:pPr>
      <w:spacing w:after="0" w:line="240" w:lineRule="auto"/>
    </w:pPr>
    <w:rPr>
      <w:sz w:val="20"/>
    </w:rPr>
  </w:style>
  <w:style w:type="paragraph" w:styleId="634" w:default="1">
    <w:name w:val="Normal"/>
    <w:uiPriority w:val="0"/>
    <w:qFormat/>
  </w:style>
  <w:style w:type="character" w:styleId="635" w:customStyle="1">
    <w:name w:val="Heading 6 Char"/>
    <w:basedOn w:val="620"/>
    <w:link w:val="614"/>
    <w:uiPriority w:val="9"/>
    <w:rPr>
      <w:rFonts w:asciiTheme="majorHAnsi" w:hAnsiTheme="majorHAnsi" w:eastAsiaTheme="majorEastAsia" w:cstheme="majorBidi"/>
      <w:i/>
      <w:color w:val="1F4D77" w:themeColor="accent1" w:themeShade="7F"/>
    </w:rPr>
  </w:style>
  <w:style w:type="paragraph" w:styleId="636">
    <w:name w:val="Plain Text"/>
    <w:basedOn w:val="634"/>
    <w:link w:val="622"/>
    <w:uiPriority w:val="99"/>
    <w:semiHidden/>
    <w:unhideWhenUsed/>
    <w:pPr>
      <w:spacing w:after="0" w:line="240" w:lineRule="auto"/>
    </w:pPr>
    <w:rPr>
      <w:rFonts w:ascii="Times New Roman" w:hAnsi="Times New Roman" w:cs="Times New Roman"/>
      <w:sz w:val="21"/>
    </w:rPr>
  </w:style>
  <w:style w:type="numbering" w:styleId="637" w:default="1">
    <w:name w:val="No List"/>
    <w:uiPriority w:val="99"/>
    <w:semiHidden/>
    <w:unhideWhenUsed/>
  </w:style>
  <w:style w:type="paragraph" w:styleId="638" w:customStyle="1">
    <w:name w:val="Стиль Абзаца"/>
    <w:basedOn w:val="639"/>
    <w:uiPriority w:val="99"/>
    <w:qFormat/>
    <w:pPr>
      <w:ind w:firstLine="709"/>
      <w:jc w:val="both"/>
    </w:pPr>
    <w:rPr>
      <w:rFonts w:ascii="Times New Roman" w:hAnsi="Times New Roman" w:eastAsiaTheme="minorEastAsia"/>
      <w:sz w:val="24"/>
      <w:lang w:eastAsia="ru-RU"/>
    </w:rPr>
  </w:style>
  <w:style w:type="paragraph" w:styleId="639">
    <w:name w:val="No Spacing"/>
    <w:uiPriority w:val="1"/>
    <w:qFormat/>
    <w:pPr>
      <w:spacing w:after="0" w:line="240" w:lineRule="auto"/>
    </w:pPr>
  </w:style>
  <w:style w:type="character" w:styleId="640">
    <w:name w:val="Intense Emphasis"/>
    <w:basedOn w:val="620"/>
    <w:uiPriority w:val="21"/>
    <w:qFormat/>
    <w:rPr>
      <w:b/>
      <w:i/>
      <w:color w:val="5B9BD5" w:themeColor="accent1"/>
    </w:rPr>
  </w:style>
  <w:style w:type="character" w:styleId="641">
    <w:name w:val="Hyperlink"/>
    <w:basedOn w:val="620"/>
    <w:uiPriority w:val="99"/>
    <w:unhideWhenUsed/>
    <w:rPr>
      <w:color w:val="0563C1" w:themeColor="hyperlink"/>
      <w:u w:val="single"/>
    </w:rPr>
  </w:style>
  <w:style w:type="paragraph" w:styleId="642">
    <w:name w:val="Subtitle"/>
    <w:basedOn w:val="634"/>
    <w:next w:val="634"/>
    <w:link w:val="625"/>
    <w:uiPriority w:val="11"/>
    <w:qFormat/>
    <w:pPr>
      <w:numPr>
        <w:ilvl w:val="1"/>
      </w:numPr>
    </w:pPr>
    <w:rPr>
      <w:rFonts w:asciiTheme="majorHAnsi" w:hAnsiTheme="majorHAnsi" w:eastAsiaTheme="majorEastAsia" w:cstheme="majorBidi"/>
      <w:i/>
      <w:color w:val="5B9BD5" w:themeColor="accent1"/>
      <w:spacing w:val="15"/>
      <w:sz w:val="24"/>
    </w:rPr>
  </w:style>
  <w:style w:type="character" w:styleId="643" w:customStyle="1">
    <w:name w:val="Heading 2 Char"/>
    <w:basedOn w:val="620"/>
    <w:link w:val="619"/>
    <w:uiPriority w:val="9"/>
    <w:rPr>
      <w:rFonts w:asciiTheme="majorHAnsi" w:hAnsiTheme="majorHAnsi" w:eastAsiaTheme="majorEastAsia" w:cstheme="majorBidi"/>
      <w:b/>
      <w:color w:val="5B9BD5" w:themeColor="accent1"/>
      <w:sz w:val="26"/>
    </w:rPr>
  </w:style>
  <w:style w:type="character" w:styleId="644" w:customStyle="1">
    <w:name w:val="Title Char"/>
    <w:basedOn w:val="620"/>
    <w:link w:val="648"/>
    <w:uiPriority w:val="10"/>
    <w:rPr>
      <w:rFonts w:asciiTheme="majorHAnsi" w:hAnsiTheme="majorHAnsi" w:eastAsiaTheme="majorEastAsia" w:cstheme="majorBidi"/>
      <w:color w:val="333F4F" w:themeColor="text2" w:themeShade="BF"/>
      <w:spacing w:val="5"/>
      <w:sz w:val="52"/>
    </w:rPr>
  </w:style>
  <w:style w:type="character" w:styleId="645" w:customStyle="1">
    <w:name w:val="Heading 7 Char"/>
    <w:basedOn w:val="620"/>
    <w:link w:val="612"/>
    <w:uiPriority w:val="9"/>
    <w:rPr>
      <w:rFonts w:asciiTheme="majorHAnsi" w:hAnsiTheme="majorHAnsi" w:eastAsiaTheme="majorEastAsia" w:cstheme="majorBidi"/>
      <w:i/>
      <w:color w:val="404040" w:themeColor="text1" w:themeTint="BF"/>
    </w:rPr>
  </w:style>
  <w:style w:type="character" w:styleId="646" w:customStyle="1">
    <w:name w:val="Heading 9 Char"/>
    <w:basedOn w:val="620"/>
    <w:link w:val="609"/>
    <w:uiPriority w:val="9"/>
    <w:rPr>
      <w:rFonts w:asciiTheme="majorHAnsi" w:hAnsiTheme="majorHAnsi" w:eastAsiaTheme="majorEastAsia" w:cstheme="majorBidi"/>
      <w:i/>
      <w:color w:val="404040" w:themeColor="text1" w:themeTint="BF"/>
      <w:sz w:val="20"/>
    </w:rPr>
  </w:style>
  <w:style w:type="character" w:styleId="647" w:customStyle="1">
    <w:name w:val="Heading 8 Char"/>
    <w:basedOn w:val="620"/>
    <w:link w:val="610"/>
    <w:uiPriority w:val="9"/>
    <w:rPr>
      <w:rFonts w:asciiTheme="majorHAnsi" w:hAnsiTheme="majorHAnsi" w:eastAsiaTheme="majorEastAsia" w:cstheme="majorBidi"/>
      <w:color w:val="404040" w:themeColor="text1" w:themeTint="BF"/>
      <w:sz w:val="20"/>
    </w:rPr>
  </w:style>
  <w:style w:type="paragraph" w:styleId="648">
    <w:name w:val="Title"/>
    <w:basedOn w:val="634"/>
    <w:next w:val="634"/>
    <w:link w:val="644"/>
    <w:uiPriority w:val="10"/>
    <w:qFormat/>
    <w:pPr>
      <w:pBdr>
        <w:bottom w:val="single" w:color="5B9BD5" w:themeColor="accent1" w:sz="8" w:space="0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33F4F" w:themeColor="text2" w:themeShade="BF"/>
      <w:spacing w:val="5"/>
      <w:sz w:val="52"/>
    </w:rPr>
  </w:style>
  <w:style w:type="character" w:styleId="649" w:customStyle="1">
    <w:name w:val="Quote Char"/>
    <w:basedOn w:val="620"/>
    <w:link w:val="607"/>
    <w:uiPriority w:val="29"/>
    <w:rPr>
      <w:i/>
      <w:color w:val="000000" w:themeColor="text1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Company>SPecialiST RePack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revision>4</cp:revision>
  <dcterms:created xsi:type="dcterms:W3CDTF">2014-09-01T17:54:00Z</dcterms:created>
  <dcterms:modified xsi:type="dcterms:W3CDTF">2022-09-16T15:14:38Z</dcterms:modified>
</cp:coreProperties>
</file>